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pacing w:val="2"/>
          <w:sz w:val="32"/>
          <w:szCs w:val="32"/>
        </w:rPr>
      </w:pPr>
      <w:r>
        <w:rPr>
          <w:rFonts w:hint="eastAsia" w:ascii="Times New Roman" w:hAnsi="Times New Roman" w:eastAsia="黑体"/>
          <w:spacing w:val="2"/>
          <w:sz w:val="32"/>
          <w:szCs w:val="32"/>
        </w:rPr>
        <w:t>附件</w:t>
      </w:r>
      <w:r>
        <w:rPr>
          <w:rFonts w:ascii="Times New Roman" w:hAnsi="Times New Roman" w:eastAsia="黑体"/>
          <w:spacing w:val="2"/>
          <w:sz w:val="32"/>
          <w:szCs w:val="32"/>
        </w:rPr>
        <w:t>3</w:t>
      </w:r>
    </w:p>
    <w:p>
      <w:pPr>
        <w:spacing w:afterLines="50" w:line="600" w:lineRule="exact"/>
        <w:jc w:val="center"/>
        <w:rPr>
          <w:rFonts w:ascii="Times New Roman" w:hAnsi="Times New Roman" w:eastAsia="方正小标宋简体"/>
          <w:spacing w:val="2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2018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年三季度醴陵市花炮产业十条政策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奖励补助初审汇总表</w:t>
      </w:r>
    </w:p>
    <w:bookmarkEnd w:id="0"/>
    <w:p>
      <w:pPr>
        <w:spacing w:line="600" w:lineRule="exact"/>
        <w:rPr>
          <w:rFonts w:ascii="Times New Roman" w:hAnsi="Times New Roman" w:eastAsia="仿宋_GB2312"/>
          <w:spacing w:val="2"/>
          <w:sz w:val="24"/>
        </w:rPr>
      </w:pPr>
      <w:r>
        <w:rPr>
          <w:rFonts w:hint="eastAsia" w:ascii="Times New Roman" w:hAnsi="Times New Roman" w:eastAsia="仿宋_GB2312"/>
          <w:bCs/>
          <w:kern w:val="0"/>
          <w:sz w:val="24"/>
        </w:rPr>
        <w:t>汇总单位：醴陵市烟花鞭炮管理局</w:t>
      </w:r>
      <w:r>
        <w:rPr>
          <w:rFonts w:ascii="Times New Roman" w:hAnsi="Times New Roman" w:eastAsia="仿宋_GB2312"/>
          <w:bCs/>
          <w:kern w:val="0"/>
          <w:sz w:val="24"/>
        </w:rPr>
        <w:t xml:space="preserve">                                                                          </w:t>
      </w:r>
      <w:r>
        <w:rPr>
          <w:rFonts w:hint="eastAsia" w:ascii="Times New Roman" w:hAnsi="Times New Roman" w:eastAsia="仿宋_GB2312"/>
          <w:bCs/>
          <w:kern w:val="0"/>
          <w:sz w:val="24"/>
        </w:rPr>
        <w:t>单位：元</w:t>
      </w:r>
    </w:p>
    <w:tbl>
      <w:tblPr>
        <w:tblStyle w:val="3"/>
        <w:tblW w:w="14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3"/>
        <w:gridCol w:w="1230"/>
        <w:gridCol w:w="1780"/>
        <w:gridCol w:w="1365"/>
        <w:gridCol w:w="2164"/>
        <w:gridCol w:w="1093"/>
        <w:gridCol w:w="1735"/>
        <w:gridCol w:w="1172"/>
        <w:gridCol w:w="1429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2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条款名称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奖励标准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认定条件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审核依据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牵头部门</w:t>
            </w:r>
          </w:p>
        </w:tc>
        <w:tc>
          <w:tcPr>
            <w:tcW w:w="17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企业名称</w:t>
            </w:r>
          </w:p>
        </w:tc>
        <w:tc>
          <w:tcPr>
            <w:tcW w:w="11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审核意见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奖励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补助金额</w:t>
            </w:r>
          </w:p>
        </w:tc>
        <w:tc>
          <w:tcPr>
            <w:tcW w:w="7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9" w:hRule="atLeast"/>
        </w:trPr>
        <w:tc>
          <w:tcPr>
            <w:tcW w:w="13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条款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1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7" w:hRule="atLeast"/>
        </w:trPr>
        <w:tc>
          <w:tcPr>
            <w:tcW w:w="13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第六条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第（二）项第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点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申报军方供销合同的奖励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按合同实际供销金额的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给予奖励，最高不超过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50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军工企业向地方企业供销物质设备签订的供销合同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提供军工企业签订的供销合同、销售发票。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花炮局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醴陵彩虹烟花材料有限公司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拟同意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259440.00 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5" w:hRule="atLeast"/>
        </w:trPr>
        <w:tc>
          <w:tcPr>
            <w:tcW w:w="253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合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计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 xml:space="preserve">259440.00 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</w:tbl>
    <w:p>
      <w:pPr>
        <w:spacing w:line="600" w:lineRule="exact"/>
        <w:rPr>
          <w:rFonts w:ascii="Times New Roman" w:hAnsi="Times New Roman" w:eastAsia="黑体"/>
          <w:spacing w:val="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pacing w:val="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pacing w:val="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pacing w:val="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14279"/>
    <w:rsid w:val="375142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2018-10-16T03:57:00Z</dcterms:created>
  <dc:creator>小荣1404181276</dc:creator>
  <cp:lastModifiedBy>小荣1404181276</cp:lastModifiedBy>
  <dcterms:modified xsi:type="dcterms:W3CDTF">2018-10-16T03:57:46Z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