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醴陵市农业综合开发办公室单位2018年度</w:t>
      </w:r>
    </w:p>
    <w:p>
      <w:pPr>
        <w:widowControl/>
        <w:jc w:val="center"/>
        <w:rPr>
          <w:rFonts w:ascii="Times New Roman" w:hAnsi="Times New Roman" w:eastAsia="方正小标宋_GBK" w:cs="Times New Roman"/>
          <w:bCs/>
          <w:kern w:val="0"/>
          <w:sz w:val="72"/>
          <w:szCs w:val="72"/>
        </w:rPr>
      </w:pPr>
      <w:r>
        <w:rPr>
          <w:rFonts w:hint="eastAsia" w:ascii="Times New Roman" w:hAnsi="Times New Roman" w:eastAsia="方正小标宋_GBK" w:cs="Times New Roman"/>
          <w:bCs/>
          <w:kern w:val="0"/>
          <w:sz w:val="72"/>
          <w:szCs w:val="72"/>
        </w:rPr>
        <w:t>部门决算</w:t>
      </w:r>
    </w:p>
    <w:p>
      <w:pPr>
        <w:widowControl/>
        <w:spacing w:beforeLines="50"/>
        <w:jc w:val="center"/>
        <w:rPr>
          <w:rFonts w:ascii="Times New Roman" w:hAnsi="Times New Roman" w:eastAsia="楷体_GB2312" w:cs="Times New Roman"/>
          <w:bCs/>
          <w:kern w:val="0"/>
          <w:sz w:val="32"/>
          <w:szCs w:val="32"/>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宋体" w:cs="Times New Roman"/>
          <w:b/>
          <w:bCs/>
          <w:kern w:val="0"/>
          <w:sz w:val="44"/>
          <w:szCs w:val="44"/>
        </w:rPr>
      </w:pPr>
    </w:p>
    <w:p>
      <w:pPr>
        <w:widowControl/>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目录</w:t>
      </w:r>
    </w:p>
    <w:p>
      <w:pPr>
        <w:widowControl/>
        <w:rPr>
          <w:rFonts w:ascii="仿宋_GB2312"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第一部分</w:t>
      </w:r>
      <w:r>
        <w:rPr>
          <w:rFonts w:hint="eastAsia" w:ascii="Times New Roman" w:hAnsi="Times New Roman" w:eastAsia="黑体" w:cs="Times New Roman"/>
          <w:bCs/>
          <w:kern w:val="0"/>
          <w:sz w:val="32"/>
          <w:szCs w:val="32"/>
          <w:lang w:val="en-US" w:eastAsia="zh-CN"/>
        </w:rPr>
        <w:t xml:space="preserve">  </w:t>
      </w:r>
      <w:r>
        <w:rPr>
          <w:rFonts w:hint="eastAsia" w:ascii="Times New Roman" w:hAnsi="Times New Roman" w:eastAsia="黑体" w:cs="Times New Roman"/>
          <w:bCs/>
          <w:kern w:val="0"/>
          <w:sz w:val="32"/>
          <w:szCs w:val="32"/>
        </w:rPr>
        <w:t>醴陵市农业综合开发办公室概况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rPr>
        <w:t>醴陵市农业综合开发办公室</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八、政府性基金预算财政拨款收入支出决算表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rPr>
        <w:t>醴陵市农业综合开发办公室</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二、收入决算情况说明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四、财政拨款收入支出决算总体情况说明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五、一般公共预算财政拨款支出决算情况说明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八、预算绩效情况说明</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九、其他重要事项的情况说明</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第四部分名称解释</w:t>
      </w: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仿宋_GB2312" w:cs="Times New Roman"/>
          <w:b/>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第一部分  </w:t>
      </w:r>
      <w:r>
        <w:rPr>
          <w:rFonts w:hint="eastAsia" w:ascii="Times New Roman" w:hAnsi="Times New Roman" w:eastAsia="黑体" w:cs="Times New Roman"/>
          <w:bCs/>
          <w:kern w:val="0"/>
          <w:sz w:val="32"/>
          <w:szCs w:val="32"/>
        </w:rPr>
        <w:t>醴陵市农业综合开发办公室</w:t>
      </w:r>
      <w:r>
        <w:rPr>
          <w:rFonts w:ascii="Times New Roman" w:hAnsi="Times New Roman" w:eastAsia="黑体" w:cs="Times New Roman"/>
          <w:bCs/>
          <w:kern w:val="0"/>
          <w:sz w:val="32"/>
          <w:szCs w:val="32"/>
        </w:rPr>
        <w:t>概况</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一、部门职责</w:t>
      </w:r>
    </w:p>
    <w:p>
      <w:pPr>
        <w:widowControl/>
        <w:spacing w:line="60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醴陵市农业综合开发办公室是经市人民政府批准工作的副科级全额拨款事业单位</w:t>
      </w:r>
      <w:r>
        <w:rPr>
          <w:rFonts w:hint="eastAsia" w:ascii="Times New Roman" w:hAnsi="Times New Roman" w:eastAsia="仿宋_GB2312" w:cs="Times New Roman"/>
          <w:kern w:val="0"/>
          <w:sz w:val="32"/>
          <w:szCs w:val="32"/>
          <w:lang w:val="en-US" w:eastAsia="zh-CN"/>
        </w:rPr>
        <w:t>,主要工作职责如下:</w:t>
      </w:r>
    </w:p>
    <w:p>
      <w:pPr>
        <w:widowControl/>
        <w:spacing w:line="60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（一）为农业综合开发项目工程建设提供技术支持和管理保障。</w:t>
      </w:r>
    </w:p>
    <w:p>
      <w:pPr>
        <w:widowControl/>
        <w:spacing w:line="60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（二）制定农业综合开发规划；选择项目；筹集资金；综合协调。</w:t>
      </w:r>
    </w:p>
    <w:p>
      <w:pPr>
        <w:widowControl/>
        <w:spacing w:line="60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（三）实施工程建设和管理。</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二、机构设置</w:t>
      </w:r>
      <w:r>
        <w:rPr>
          <w:rFonts w:hint="eastAsia" w:ascii="Times New Roman" w:hAnsi="Times New Roman" w:eastAsia="仿宋_GB2312" w:cs="Times New Roman"/>
          <w:bCs/>
          <w:kern w:val="0"/>
          <w:sz w:val="32"/>
          <w:szCs w:val="32"/>
        </w:rPr>
        <w:t>及决算单位构成</w:t>
      </w:r>
    </w:p>
    <w:p>
      <w:pPr>
        <w:widowControl/>
        <w:spacing w:line="600" w:lineRule="exac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（一）内设机构设置。醴陵市农业综合开发办公室内设机构包括：综合股、土地治理项目股、产业化项目，现有在职工作人员13人、退休人员2人。</w:t>
      </w:r>
    </w:p>
    <w:p>
      <w:pPr>
        <w:widowControl/>
        <w:spacing w:line="600" w:lineRule="exac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rPr>
        <w:t>（二）决算单位构成。 醴陵市农业综合开发办公室2018年部门决算汇总公开单位构成包括：醴陵市农业综合开发办公室本级</w:t>
      </w:r>
      <w:r>
        <w:rPr>
          <w:rFonts w:hint="eastAsia" w:ascii="Times New Roman" w:hAnsi="Times New Roman" w:eastAsia="仿宋_GB2312" w:cs="Times New Roman"/>
          <w:bCs/>
          <w:kern w:val="0"/>
          <w:sz w:val="32"/>
          <w:szCs w:val="32"/>
          <w:lang w:eastAsia="zh-CN"/>
        </w:rPr>
        <w:t>，没有下设二级机构。</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第二部分  </w:t>
      </w:r>
      <w:r>
        <w:rPr>
          <w:rFonts w:hint="eastAsia" w:ascii="Times New Roman" w:hAnsi="Times New Roman" w:eastAsia="黑体" w:cs="Times New Roman"/>
          <w:bCs/>
          <w:kern w:val="0"/>
          <w:sz w:val="32"/>
          <w:szCs w:val="32"/>
        </w:rPr>
        <w:t>醴陵市农业综合开发办公室</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年度部门决算表</w:t>
      </w: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pPr>
      <w:r>
        <w:drawing>
          <wp:inline distT="0" distB="0" distL="114300" distR="114300">
            <wp:extent cx="5264150" cy="2770505"/>
            <wp:effectExtent l="0" t="0" r="12700" b="1079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264150" cy="2770505"/>
                    </a:xfrm>
                    <a:prstGeom prst="rect">
                      <a:avLst/>
                    </a:prstGeom>
                    <a:noFill/>
                    <a:ln>
                      <a:noFill/>
                    </a:ln>
                  </pic:spPr>
                </pic:pic>
              </a:graphicData>
            </a:graphic>
          </wp:inline>
        </w:drawing>
      </w:r>
    </w:p>
    <w:p>
      <w:pPr>
        <w:widowControl/>
        <w:jc w:val="center"/>
      </w:pPr>
    </w:p>
    <w:p>
      <w:pPr>
        <w:widowControl/>
        <w:jc w:val="center"/>
      </w:pPr>
    </w:p>
    <w:p>
      <w:pPr>
        <w:widowControl/>
        <w:jc w:val="center"/>
        <w:rPr>
          <w:rFonts w:ascii="华文中宋" w:hAnsi="华文中宋" w:eastAsia="方正小标宋_GBK" w:cs="宋体"/>
          <w:color w:val="000000"/>
          <w:kern w:val="0"/>
          <w:sz w:val="36"/>
          <w:szCs w:val="36"/>
        </w:rPr>
      </w:pPr>
      <w:r>
        <w:drawing>
          <wp:inline distT="0" distB="0" distL="114300" distR="114300">
            <wp:extent cx="5267960" cy="3709035"/>
            <wp:effectExtent l="0" t="0" r="8890" b="57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stretch>
                      <a:fillRect/>
                    </a:stretch>
                  </pic:blipFill>
                  <pic:spPr>
                    <a:xfrm>
                      <a:off x="0" y="0"/>
                      <a:ext cx="5267960" cy="3709035"/>
                    </a:xfrm>
                    <a:prstGeom prst="rect">
                      <a:avLst/>
                    </a:prstGeom>
                    <a:noFill/>
                    <a:ln>
                      <a:noFill/>
                    </a:ln>
                  </pic:spPr>
                </pic:pic>
              </a:graphicData>
            </a:graphic>
          </wp:inline>
        </w:drawing>
      </w: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r>
        <w:drawing>
          <wp:inline distT="0" distB="0" distL="114300" distR="114300">
            <wp:extent cx="5271135" cy="4229100"/>
            <wp:effectExtent l="0" t="0" r="571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5271135" cy="4229100"/>
                    </a:xfrm>
                    <a:prstGeom prst="rect">
                      <a:avLst/>
                    </a:prstGeom>
                    <a:noFill/>
                    <a:ln>
                      <a:noFill/>
                    </a:ln>
                  </pic:spPr>
                </pic:pic>
              </a:graphicData>
            </a:graphic>
          </wp:inline>
        </w:drawing>
      </w:r>
    </w:p>
    <w:p>
      <w:pPr>
        <w:widowControl/>
        <w:jc w:val="center"/>
        <w:rPr>
          <w:rFonts w:ascii="华文中宋" w:hAnsi="华文中宋" w:eastAsia="方正小标宋_GBK" w:cs="宋体"/>
          <w:color w:val="000000"/>
          <w:kern w:val="0"/>
          <w:sz w:val="36"/>
          <w:szCs w:val="36"/>
        </w:rPr>
      </w:pPr>
    </w:p>
    <w:p>
      <w:pPr>
        <w:widowControl/>
        <w:jc w:val="center"/>
      </w:pPr>
      <w:r>
        <w:drawing>
          <wp:inline distT="0" distB="0" distL="114300" distR="114300">
            <wp:extent cx="5267325" cy="2844800"/>
            <wp:effectExtent l="0" t="0" r="9525" b="1270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5267325" cy="2844800"/>
                    </a:xfrm>
                    <a:prstGeom prst="rect">
                      <a:avLst/>
                    </a:prstGeom>
                    <a:noFill/>
                    <a:ln>
                      <a:noFill/>
                    </a:ln>
                  </pic:spPr>
                </pic:pic>
              </a:graphicData>
            </a:graphic>
          </wp:inline>
        </w:drawing>
      </w:r>
    </w:p>
    <w:p>
      <w:pPr>
        <w:widowControl/>
        <w:jc w:val="center"/>
      </w:pPr>
    </w:p>
    <w:p>
      <w:pPr>
        <w:widowControl/>
        <w:jc w:val="center"/>
      </w:pPr>
    </w:p>
    <w:p>
      <w:pPr>
        <w:widowControl/>
        <w:jc w:val="center"/>
      </w:pPr>
    </w:p>
    <w:p>
      <w:pPr>
        <w:widowControl/>
        <w:jc w:val="center"/>
      </w:pPr>
      <w:r>
        <w:drawing>
          <wp:inline distT="0" distB="0" distL="114300" distR="114300">
            <wp:extent cx="5270500" cy="3768090"/>
            <wp:effectExtent l="0" t="0" r="6350"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4"/>
                    <a:stretch>
                      <a:fillRect/>
                    </a:stretch>
                  </pic:blipFill>
                  <pic:spPr>
                    <a:xfrm>
                      <a:off x="0" y="0"/>
                      <a:ext cx="5270500" cy="3768090"/>
                    </a:xfrm>
                    <a:prstGeom prst="rect">
                      <a:avLst/>
                    </a:prstGeom>
                    <a:noFill/>
                    <a:ln>
                      <a:noFill/>
                    </a:ln>
                  </pic:spPr>
                </pic:pic>
              </a:graphicData>
            </a:graphic>
          </wp:inline>
        </w:drawing>
      </w:r>
    </w:p>
    <w:p>
      <w:pPr>
        <w:widowControl/>
        <w:jc w:val="center"/>
      </w:pPr>
    </w:p>
    <w:p>
      <w:pPr>
        <w:widowControl/>
        <w:jc w:val="center"/>
      </w:pPr>
    </w:p>
    <w:p>
      <w:pPr>
        <w:widowControl/>
        <w:jc w:val="center"/>
      </w:pPr>
      <w:r>
        <w:drawing>
          <wp:inline distT="0" distB="0" distL="114300" distR="114300">
            <wp:extent cx="5268595" cy="3519170"/>
            <wp:effectExtent l="0" t="0" r="8255" b="508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a:stretch>
                      <a:fillRect/>
                    </a:stretch>
                  </pic:blipFill>
                  <pic:spPr>
                    <a:xfrm>
                      <a:off x="0" y="0"/>
                      <a:ext cx="5268595" cy="3519170"/>
                    </a:xfrm>
                    <a:prstGeom prst="rect">
                      <a:avLst/>
                    </a:prstGeom>
                    <a:noFill/>
                    <a:ln>
                      <a:noFill/>
                    </a:ln>
                  </pic:spPr>
                </pic:pic>
              </a:graphicData>
            </a:graphic>
          </wp:inline>
        </w:drawing>
      </w:r>
    </w:p>
    <w:p>
      <w:pPr>
        <w:widowControl/>
        <w:jc w:val="cente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kern w:val="0"/>
          <w:sz w:val="36"/>
          <w:szCs w:val="36"/>
        </w:rPr>
      </w:pPr>
      <w:r>
        <w:drawing>
          <wp:inline distT="0" distB="0" distL="114300" distR="114300">
            <wp:extent cx="5273675" cy="1875155"/>
            <wp:effectExtent l="0" t="0" r="3175" b="1079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6"/>
                    <a:stretch>
                      <a:fillRect/>
                    </a:stretch>
                  </pic:blipFill>
                  <pic:spPr>
                    <a:xfrm>
                      <a:off x="0" y="0"/>
                      <a:ext cx="5273675" cy="1875155"/>
                    </a:xfrm>
                    <a:prstGeom prst="rect">
                      <a:avLst/>
                    </a:prstGeom>
                    <a:noFill/>
                    <a:ln>
                      <a:noFill/>
                    </a:ln>
                  </pic:spPr>
                </pic:pic>
              </a:graphicData>
            </a:graphic>
          </wp:inline>
        </w:drawing>
      </w:r>
    </w:p>
    <w:p>
      <w:pPr>
        <w:widowControl/>
        <w:jc w:val="center"/>
        <w:rPr>
          <w:rFonts w:ascii="Times New Roman" w:hAnsi="Times New Roman" w:eastAsia="仿宋_GB2312" w:cs="Times New Roman"/>
          <w:spacing w:val="6"/>
          <w:kern w:val="0"/>
          <w:sz w:val="32"/>
          <w:szCs w:val="32"/>
        </w:rPr>
      </w:pPr>
      <w:r>
        <w:drawing>
          <wp:inline distT="0" distB="0" distL="114300" distR="114300">
            <wp:extent cx="5272405" cy="2606040"/>
            <wp:effectExtent l="0" t="0" r="4445" b="381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5272405" cy="2606040"/>
                    </a:xfrm>
                    <a:prstGeom prst="rect">
                      <a:avLst/>
                    </a:prstGeom>
                    <a:noFill/>
                    <a:ln>
                      <a:noFill/>
                    </a:ln>
                  </pic:spPr>
                </pic:pic>
              </a:graphicData>
            </a:graphic>
          </wp:inline>
        </w:drawing>
      </w:r>
    </w:p>
    <w:p>
      <w:pPr>
        <w:widowControl/>
        <w:jc w:val="left"/>
        <w:rPr>
          <w:rFonts w:ascii="Times New Roman" w:hAnsi="宋体" w:eastAsia="仿宋_GB2312" w:cs="Times New Roman"/>
          <w:kern w:val="0"/>
          <w:sz w:val="24"/>
          <w:szCs w:val="24"/>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第三部分  </w:t>
      </w:r>
      <w:r>
        <w:rPr>
          <w:rFonts w:hint="eastAsia" w:ascii="Times New Roman" w:hAnsi="Times New Roman" w:eastAsia="黑体" w:cs="Times New Roman"/>
          <w:bCs/>
          <w:kern w:val="0"/>
          <w:sz w:val="32"/>
          <w:szCs w:val="32"/>
        </w:rPr>
        <w:t>醴陵市农业综合开发办公室</w:t>
      </w:r>
      <w:r>
        <w:rPr>
          <w:rFonts w:ascii="Times New Roman" w:hAnsi="Times New Roman" w:eastAsia="黑体" w:cs="Times New Roman"/>
          <w:bCs/>
          <w:kern w:val="0"/>
          <w:sz w:val="32"/>
          <w:szCs w:val="32"/>
        </w:rPr>
        <w:t>201</w:t>
      </w:r>
      <w:r>
        <w:rPr>
          <w:rFonts w:hint="eastAsia" w:ascii="Times New Roman" w:hAnsi="Times New Roman" w:eastAsia="黑体" w:cs="Times New Roman"/>
          <w:bCs/>
          <w:kern w:val="0"/>
          <w:sz w:val="32"/>
          <w:szCs w:val="32"/>
        </w:rPr>
        <w:t>8</w:t>
      </w:r>
      <w:r>
        <w:rPr>
          <w:rFonts w:ascii="Times New Roman" w:hAnsi="Times New Roman" w:eastAsia="黑体" w:cs="Times New Roman"/>
          <w:bCs/>
          <w:kern w:val="0"/>
          <w:sz w:val="32"/>
          <w:szCs w:val="32"/>
        </w:rPr>
        <w:t>年度部门决算情况说明</w:t>
      </w:r>
    </w:p>
    <w:p>
      <w:pPr>
        <w:widowControl/>
        <w:spacing w:line="600" w:lineRule="exact"/>
        <w:ind w:firstLine="480" w:firstLineChars="150"/>
        <w:rPr>
          <w:rFonts w:ascii="Times New Roman" w:hAnsi="Times New Roman" w:eastAsia="黑体" w:cs="Times New Roman"/>
          <w:bCs/>
          <w:kern w:val="0"/>
          <w:sz w:val="32"/>
          <w:szCs w:val="32"/>
        </w:rPr>
      </w:pPr>
      <w:r>
        <w:rPr>
          <w:rFonts w:ascii="Times New Roman" w:hAnsi="Times New Roman" w:eastAsia="仿宋_GB2312" w:cs="Times New Roman"/>
          <w:kern w:val="0"/>
          <w:sz w:val="32"/>
          <w:szCs w:val="32"/>
        </w:rPr>
        <w:t>一、收入支出决算总体情况说明</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2018年收入总额1496.59万元，2017年收入总额2678.24万元，收入比上年度减少1181.65万元，同比减少44.12%。主要原因：2018年无产业化项目</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2018年支出总额1496.59万元，2017年支出总额2696.40万元，支出比上年度减少1199.81万元，同比减少44.5%。主要原因：2018年无产业化项目</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二、收入决算情况说明</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2018年收入总额1496.59万元，其中财政拨款1496.59万元，占总收入的100%。</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三、支出决算情况说明</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2018年收入总额1496.59万元，其中财政拨款1496.59万元，占总收入的100%。</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四、财政拨款收入支出决算总体情况说明</w:t>
      </w:r>
    </w:p>
    <w:p>
      <w:pPr>
        <w:widowControl/>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2018年财政拨款收入总额1496.59万元，2017年财政拨款收入总额2678.24万元，收入比上年度减少1181.65万元，同比增加44.12%。主要原因：2018年无产业化项目</w:t>
      </w:r>
      <w:r>
        <w:rPr>
          <w:rFonts w:hint="eastAsia" w:ascii="Times New Roman" w:hAnsi="Times New Roman" w:eastAsia="仿宋_GB2312" w:cs="Times New Roman"/>
          <w:kern w:val="0"/>
          <w:sz w:val="32"/>
          <w:szCs w:val="32"/>
          <w:lang w:eastAsia="zh-CN"/>
        </w:rPr>
        <w:t>。</w:t>
      </w:r>
    </w:p>
    <w:p>
      <w:pPr>
        <w:widowControl/>
        <w:spacing w:line="600" w:lineRule="exact"/>
        <w:ind w:firstLine="640" w:firstLineChars="200"/>
        <w:rPr>
          <w:rFonts w:hint="eastAsia" w:ascii="Times New Roman" w:hAnsi="Times New Roman" w:eastAsia="仿宋_GB2312" w:cs="Times New Roman"/>
          <w:kern w:val="0"/>
          <w:sz w:val="32"/>
          <w:szCs w:val="32"/>
        </w:rPr>
      </w:pPr>
    </w:p>
    <w:p>
      <w:pPr>
        <w:widowControl/>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2018年财政拨款支出总额1496.59万元，2017年财政拨款支出总额2696.40万元，支出比上年度减少1199.81万元，同比减少44.5%。主要原因：2018年无产业化项目</w:t>
      </w:r>
      <w:r>
        <w:rPr>
          <w:rFonts w:hint="eastAsia" w:ascii="Times New Roman" w:hAnsi="Times New Roman" w:eastAsia="仿宋_GB2312" w:cs="Times New Roman"/>
          <w:kern w:val="0"/>
          <w:sz w:val="32"/>
          <w:szCs w:val="32"/>
          <w:lang w:eastAsia="zh-CN"/>
        </w:rPr>
        <w:t>。</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五、一般公共预算财政拨款支出决算情况说明</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（一）财政拨款支出决算总体情况。</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2018年支出总额1496.59万元，2017年支出总额2696.40万元，支出比上年度减少1199.81万元，同比减少44.5%。</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（二）财政拨款支出决算结构情况。</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2018年支出总额1496.38万元，其中基本支出177.38万元，占总支出的11.86%，项目支出1319万元，占总支出的88.14% 。</w:t>
      </w:r>
    </w:p>
    <w:p>
      <w:pPr>
        <w:widowControl/>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Cs/>
          <w:kern w:val="0"/>
          <w:sz w:val="32"/>
          <w:szCs w:val="32"/>
        </w:rPr>
        <w:t>（三）财政拨款支出决算具体情况。</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2018年财政拨款支出总额177.38万元，比年初预算数为166.53万元增加10.85万元。增加的原因是扶贫租车费、会议费、培训费、印刷费的增加。</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六、一般公共预算财政拨款基本支出决算情况说明</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2018年一般公共预算财政拨款基本支出1496.38万元,其中社会保障和就业支出0.52万元，占比0.03%，医疗卫生与计划生育支出5.91万元, 占比0.4%，农林水支出1489.95万元, 占比99.57%。</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七、一般公共预算财政拨款“三公”经费支出决算情况说明</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（一）“三公”经费财政拨款支出决算总体情况说明。</w:t>
      </w:r>
    </w:p>
    <w:p>
      <w:pPr>
        <w:widowControl/>
        <w:spacing w:line="600" w:lineRule="exact"/>
        <w:ind w:firstLine="800" w:firstLineChars="25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“三公”经费总额1.14万元，其中公务接待费1.14万元、其他交通费用0万元；年初预算数总额1万元，公务接待费增加0.14万元。增加的原因是扶贫接待费用的增加。</w:t>
      </w:r>
    </w:p>
    <w:p>
      <w:pPr>
        <w:widowControl/>
        <w:spacing w:line="600" w:lineRule="exact"/>
        <w:ind w:firstLine="800" w:firstLineChars="25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“三公”经费总额1.14万元，其中公务接待费1.14万元、其他交通费用0万元；上年决算数总额5.49万元：接待费1.14万元，比上年减少4.35万元。减少的原因是响应国家号召，控制“三公”经费的支出。</w:t>
      </w:r>
    </w:p>
    <w:p>
      <w:pPr>
        <w:widowControl/>
        <w:spacing w:line="600" w:lineRule="exact"/>
        <w:ind w:firstLine="800" w:firstLineChars="2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（二）“三公”经费财政拨款支出决算具体情况说明。</w:t>
      </w:r>
    </w:p>
    <w:p>
      <w:pPr>
        <w:widowControl/>
        <w:spacing w:line="600" w:lineRule="exact"/>
        <w:ind w:firstLine="960" w:firstLineChars="3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“三公”经费总额1.14万元，其中公务接待费为1.14万元。因公出国（境）费</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rPr>
        <w:t>，公务用车保有量</w:t>
      </w:r>
      <w:r>
        <w:rPr>
          <w:rFonts w:hint="eastAsia" w:ascii="Times New Roman" w:hAnsi="Times New Roman" w:eastAsia="仿宋_GB2312" w:cs="Times New Roman"/>
          <w:kern w:val="0"/>
          <w:sz w:val="32"/>
          <w:szCs w:val="32"/>
          <w:lang w:val="en-US" w:eastAsia="zh-CN"/>
        </w:rPr>
        <w:t>0辆，公务用车运行维护费支出0万元，车辆购置费支出为0万元，</w:t>
      </w:r>
      <w:r>
        <w:rPr>
          <w:rFonts w:hint="eastAsia" w:ascii="Times New Roman" w:hAnsi="Times New Roman" w:eastAsia="仿宋_GB2312" w:cs="Times New Roman"/>
          <w:kern w:val="0"/>
          <w:sz w:val="32"/>
          <w:szCs w:val="32"/>
        </w:rPr>
        <w:t>。公务接待批次35批次及人数380人。</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八、政府性基金预算收入支出决算情况</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本单位无政府性基金收支。</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九、关于201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年度预算绩效情况说明</w:t>
      </w:r>
    </w:p>
    <w:p>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单位紧紧围绕“预算编制有目标、预算执行有监控、预算完成有评价、评价结果有反馈、反馈结果有应用”的预算绩效管理工作目标，采取部门自评、预算绩效管理综合评价工作方式，不断强化预算绩效评价管理，着力提高财政资金使用效益。</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w:t>
      </w:r>
    </w:p>
    <w:p>
      <w:pPr>
        <w:autoSpaceDE w:val="0"/>
        <w:autoSpaceDN w:val="0"/>
        <w:adjustRightInd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w:t>
      </w:r>
      <w:r>
        <w:rPr>
          <w:rFonts w:hint="eastAsia" w:ascii="Times New Roman" w:hAnsi="Times New Roman" w:eastAsia="仿宋_GB2312" w:cs="Times New Roman"/>
          <w:kern w:val="0"/>
          <w:sz w:val="32"/>
          <w:szCs w:val="32"/>
        </w:rPr>
        <w:t>本部门2018年度机关运行经费支出177.38万元，比2017年度202.24万元减少24.86万元，减少12.3%。主要原因是：项目资金量的减少。</w:t>
      </w:r>
    </w:p>
    <w:p>
      <w:pPr>
        <w:autoSpaceDE w:val="0"/>
        <w:autoSpaceDN w:val="0"/>
        <w:adjustRightInd w:val="0"/>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（二）政府采购支出情况。</w:t>
      </w:r>
      <w:r>
        <w:rPr>
          <w:rFonts w:hint="eastAsia" w:ascii="仿宋_GB2312" w:hAnsi="宋体" w:eastAsia="仿宋_GB2312"/>
          <w:kern w:val="0"/>
          <w:sz w:val="32"/>
          <w:szCs w:val="32"/>
        </w:rPr>
        <w:t>本部门2018年度政府采购</w:t>
      </w:r>
      <w:r>
        <w:rPr>
          <w:rFonts w:hint="eastAsia" w:ascii="仿宋_GB2312" w:hAnsi="宋体" w:eastAsia="仿宋_GB2312"/>
          <w:color w:val="000000"/>
          <w:kern w:val="0"/>
          <w:sz w:val="32"/>
          <w:szCs w:val="32"/>
        </w:rPr>
        <w:t>支出总额447.42万元，其中：政府采购货物支出59.53万元，政府采购工程支出387.89万元。授予中小企业合同金额0万元，其中：授予小微企业合同金额0万元，占政府采购支出金额的0%。</w:t>
      </w:r>
    </w:p>
    <w:p>
      <w:pPr>
        <w:autoSpaceDE w:val="0"/>
        <w:autoSpaceDN w:val="0"/>
        <w:adjustRightInd w:val="0"/>
        <w:spacing w:line="600" w:lineRule="exact"/>
        <w:ind w:firstLine="800" w:firstLineChars="2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（三）国有资产占用情况。</w:t>
      </w:r>
      <w:r>
        <w:rPr>
          <w:rFonts w:hint="eastAsia" w:ascii="Times New Roman" w:hAnsi="Times New Roman" w:eastAsia="仿宋_GB2312" w:cs="Times New Roman"/>
          <w:kern w:val="0"/>
          <w:sz w:val="32"/>
          <w:szCs w:val="32"/>
        </w:rPr>
        <w:t>截至2018 年12 月31 日，本部门无公务用车；单位价值50 万元以上通用设备0台（套），单价100 万元以上专用设备0台（套）。</w:t>
      </w:r>
    </w:p>
    <w:p>
      <w:pPr>
        <w:widowControl/>
        <w:spacing w:line="600" w:lineRule="exact"/>
        <w:rPr>
          <w:rFonts w:ascii="仿宋_GB2312" w:hAnsi="Times New Roman" w:eastAsia="仿宋_GB2312" w:cs="Times New Roman"/>
          <w:sz w:val="32"/>
          <w:szCs w:val="32"/>
        </w:rPr>
      </w:pPr>
      <w:r>
        <w:rPr>
          <w:rFonts w:hint="eastAsia" w:ascii="Times New Roman" w:hAnsi="Times New Roman" w:eastAsia="黑体" w:cs="Times New Roman"/>
          <w:bCs/>
          <w:kern w:val="0"/>
          <w:sz w:val="32"/>
          <w:szCs w:val="32"/>
        </w:rPr>
        <w:t>第四部分名词解释</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3. 基本支出：指为保障机构正常运转、完成日常工作任务而发生的人员支出和公用支出。</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4</w:t>
      </w:r>
      <w:r>
        <w:rPr>
          <w:rFonts w:ascii="Times New Roman" w:hAnsi="Times New Roman" w:eastAsia="仿宋_GB2312" w:cs="Times New Roman"/>
          <w:kern w:val="0"/>
          <w:sz w:val="32"/>
          <w:szCs w:val="32"/>
        </w:rPr>
        <w:t>.项目支出：指在基本支出之外为完成特定行政任务和事业发展目标所发生的支出。</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5</w:t>
      </w:r>
      <w:r>
        <w:rPr>
          <w:rFonts w:ascii="Times New Roman" w:hAnsi="Times New Roman" w:eastAsia="仿宋_GB2312" w:cs="Times New Roman"/>
          <w:kern w:val="0"/>
          <w:sz w:val="32"/>
          <w:szCs w:val="32"/>
        </w:rPr>
        <w:t>.“三公”经费：是指商品和服务支出中的因公出国（境）费用、公务用车购置及运行维护费和公务接待费。</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6</w:t>
      </w:r>
      <w:r>
        <w:rPr>
          <w:rFonts w:ascii="Times New Roman" w:hAnsi="Times New Roman" w:eastAsia="仿宋_GB2312" w:cs="Times New Roman"/>
          <w:kern w:val="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第五部分其它说明</w:t>
      </w:r>
    </w:p>
    <w:p>
      <w:pPr>
        <w:autoSpaceDE w:val="0"/>
        <w:autoSpaceDN w:val="0"/>
        <w:adjustRightInd w:val="0"/>
        <w:spacing w:line="600" w:lineRule="exact"/>
        <w:ind w:firstLine="640" w:firstLineChars="200"/>
        <w:rPr>
          <w:rFonts w:hint="eastAsia" w:ascii="Times New Roman" w:hAnsi="Times New Roman" w:eastAsia="仿宋_GB2312" w:cs="Times New Roman"/>
          <w:color w:val="000000" w:themeColor="text1"/>
          <w:kern w:val="0"/>
          <w:sz w:val="32"/>
          <w:szCs w:val="32"/>
          <w:lang w:eastAsia="zh-CN"/>
        </w:rPr>
      </w:pPr>
      <w:r>
        <w:rPr>
          <w:rFonts w:ascii="Times New Roman" w:hAnsi="Times New Roman" w:eastAsia="仿宋_GB2312" w:cs="Times New Roman"/>
          <w:color w:val="000000" w:themeColor="text1"/>
          <w:kern w:val="0"/>
          <w:sz w:val="32"/>
          <w:szCs w:val="32"/>
        </w:rPr>
        <w:t>公开门户网站</w:t>
      </w:r>
      <w:r>
        <w:rPr>
          <w:rFonts w:hint="eastAsia" w:ascii="Times New Roman" w:hAnsi="Times New Roman" w:eastAsia="仿宋_GB2312" w:cs="Times New Roman"/>
          <w:color w:val="000000" w:themeColor="text1"/>
          <w:kern w:val="0"/>
          <w:sz w:val="32"/>
          <w:szCs w:val="32"/>
          <w:lang w:eastAsia="zh-CN"/>
        </w:rPr>
        <w:t>：</w:t>
      </w:r>
    </w:p>
    <w:p>
      <w:pPr>
        <w:autoSpaceDE w:val="0"/>
        <w:autoSpaceDN w:val="0"/>
        <w:adjustRightInd w:val="0"/>
        <w:spacing w:line="600" w:lineRule="exact"/>
        <w:ind w:firstLine="640" w:firstLineChars="200"/>
        <w:rPr>
          <w:rFonts w:hint="eastAsia" w:ascii="Times New Roman" w:hAnsi="Times New Roman" w:eastAsia="仿宋_GB2312" w:cs="Times New Roman"/>
          <w:color w:val="000000" w:themeColor="text1"/>
          <w:kern w:val="0"/>
          <w:sz w:val="32"/>
          <w:szCs w:val="32"/>
          <w:lang w:eastAsia="zh-CN"/>
        </w:rPr>
      </w:pPr>
      <w:r>
        <w:rPr>
          <w:rFonts w:hint="eastAsia" w:ascii="Times New Roman" w:hAnsi="Times New Roman" w:eastAsia="仿宋_GB2312" w:cs="Times New Roman"/>
          <w:color w:val="000000" w:themeColor="text1"/>
          <w:kern w:val="0"/>
          <w:sz w:val="32"/>
          <w:szCs w:val="32"/>
          <w:lang w:eastAsia="zh-CN"/>
        </w:rPr>
        <w:fldChar w:fldCharType="begin"/>
      </w:r>
      <w:r>
        <w:rPr>
          <w:rFonts w:hint="eastAsia" w:ascii="Times New Roman" w:hAnsi="Times New Roman" w:eastAsia="仿宋_GB2312" w:cs="Times New Roman"/>
          <w:color w:val="000000" w:themeColor="text1"/>
          <w:kern w:val="0"/>
          <w:sz w:val="32"/>
          <w:szCs w:val="32"/>
          <w:lang w:eastAsia="zh-CN"/>
        </w:rPr>
        <w:instrText xml:space="preserve"> HYPERLINK "http://llnyj.liling.gov.cn/articles/3361/2019-8/241773.html" </w:instrText>
      </w:r>
      <w:r>
        <w:rPr>
          <w:rFonts w:hint="eastAsia" w:ascii="Times New Roman" w:hAnsi="Times New Roman" w:eastAsia="仿宋_GB2312" w:cs="Times New Roman"/>
          <w:color w:val="000000" w:themeColor="text1"/>
          <w:kern w:val="0"/>
          <w:sz w:val="32"/>
          <w:szCs w:val="32"/>
          <w:lang w:eastAsia="zh-CN"/>
        </w:rPr>
        <w:fldChar w:fldCharType="separate"/>
      </w:r>
      <w:r>
        <w:rPr>
          <w:rStyle w:val="7"/>
          <w:rFonts w:hint="eastAsia" w:ascii="Times New Roman" w:hAnsi="Times New Roman" w:eastAsia="仿宋_GB2312" w:cs="Times New Roman"/>
          <w:kern w:val="0"/>
          <w:sz w:val="32"/>
          <w:szCs w:val="32"/>
          <w:lang w:eastAsia="zh-CN"/>
        </w:rPr>
        <w:t>http://llnyj.liling.gov.cn/articles/3361/2019-8/241773.html</w:t>
      </w:r>
      <w:r>
        <w:rPr>
          <w:rFonts w:hint="eastAsia" w:ascii="Times New Roman" w:hAnsi="Times New Roman" w:eastAsia="仿宋_GB2312" w:cs="Times New Roman"/>
          <w:color w:val="000000" w:themeColor="text1"/>
          <w:kern w:val="0"/>
          <w:sz w:val="32"/>
          <w:szCs w:val="32"/>
          <w:lang w:eastAsia="zh-CN"/>
        </w:rPr>
        <w:fldChar w:fldCharType="end"/>
      </w:r>
    </w:p>
    <w:p>
      <w:pPr>
        <w:autoSpaceDE w:val="0"/>
        <w:autoSpaceDN w:val="0"/>
        <w:adjustRightInd w:val="0"/>
        <w:spacing w:line="600" w:lineRule="exact"/>
        <w:ind w:firstLine="640" w:firstLineChars="200"/>
        <w:rPr>
          <w:rFonts w:hint="eastAsia" w:ascii="Times New Roman" w:hAnsi="Times New Roman" w:eastAsia="仿宋_GB2312" w:cs="Times New Roman"/>
          <w:color w:val="000000" w:themeColor="text1"/>
          <w:kern w:val="0"/>
          <w:sz w:val="32"/>
          <w:szCs w:val="32"/>
          <w:lang w:eastAsia="zh-CN"/>
        </w:rPr>
      </w:pPr>
      <w:r>
        <w:rPr>
          <w:rFonts w:hint="eastAsia" w:ascii="Times New Roman" w:hAnsi="Times New Roman" w:eastAsia="仿宋_GB2312" w:cs="Times New Roman"/>
          <w:color w:val="000000" w:themeColor="text1"/>
          <w:kern w:val="0"/>
          <w:sz w:val="32"/>
          <w:szCs w:val="32"/>
          <w:lang w:eastAsia="zh-CN"/>
        </w:rPr>
        <w:t>http://llnyj.liling.gov.cn/articles/3361/2019-8/241773.html</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11</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4A8E"/>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A74DC"/>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16D1D"/>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37525"/>
    <w:rsid w:val="0054376C"/>
    <w:rsid w:val="00543F34"/>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C75C1"/>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3567"/>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14AA2F4E"/>
    <w:rsid w:val="34FC511C"/>
    <w:rsid w:val="35E00245"/>
    <w:rsid w:val="38F563E4"/>
    <w:rsid w:val="76AE4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349</Words>
  <Characters>1993</Characters>
  <Lines>16</Lines>
  <Paragraphs>4</Paragraphs>
  <TotalTime>3</TotalTime>
  <ScaleCrop>false</ScaleCrop>
  <LinksUpToDate>false</LinksUpToDate>
  <CharactersWithSpaces>2338</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2019-12-02T10:39:00Z</dcterms:created>
  <dc:creator>周亮辉 10.104.93.85</dc:creator>
  <cp:lastModifiedBy>Administrator</cp:lastModifiedBy>
  <dcterms:modified xsi:type="dcterms:W3CDTF">2019-12-09T01:04:43Z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